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04B38153"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w:t>
      </w:r>
      <w:r w:rsidR="009D0434">
        <w:rPr>
          <w:rFonts w:ascii="Arial" w:eastAsia="Arial" w:hAnsi="Arial" w:cs="Arial"/>
          <w:b/>
          <w:bCs/>
          <w:sz w:val="32"/>
          <w:szCs w:val="32"/>
          <w:lang w:eastAsia="cs-CZ"/>
        </w:rPr>
        <w:t>metodik/metodička</w:t>
      </w:r>
      <w:r w:rsidR="00C14F1A" w:rsidRPr="00C14F1A">
        <w:rPr>
          <w:rFonts w:ascii="Arial" w:eastAsia="Arial" w:hAnsi="Arial" w:cs="Arial"/>
          <w:b/>
          <w:bCs/>
          <w:sz w:val="32"/>
          <w:szCs w:val="32"/>
          <w:lang w:eastAsia="cs-CZ"/>
        </w:rPr>
        <w:t xml:space="preserve"> fondů EU</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9D0434">
        <w:rPr>
          <w:rFonts w:ascii="Arial" w:eastAsia="Arial" w:hAnsi="Arial" w:cs="Arial"/>
          <w:b/>
          <w:bCs/>
          <w:sz w:val="32"/>
          <w:szCs w:val="32"/>
          <w:lang w:eastAsia="cs-CZ"/>
        </w:rPr>
        <w:t>metodického řízení</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odbor řízení a koordinace fondů EU</w:t>
        </w:r>
      </w:hyperlink>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9D0434">
        <w:rPr>
          <w:rFonts w:ascii="Arial" w:eastAsia="Arial" w:hAnsi="Arial" w:cs="Arial"/>
          <w:b/>
          <w:bCs/>
          <w:sz w:val="32"/>
          <w:szCs w:val="32"/>
          <w:lang w:eastAsia="cs-CZ"/>
        </w:rPr>
        <w:t>37</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4985969"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C14F1A">
        <w:rPr>
          <w:rFonts w:ascii="Arial" w:hAnsi="Arial" w:cs="Arial"/>
        </w:rPr>
        <w:t>58086</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2CB4434" w:rsidR="00463335" w:rsidRPr="009D0434" w:rsidRDefault="00463335" w:rsidP="00EC7B36">
      <w:pPr>
        <w:autoSpaceDE w:val="0"/>
        <w:autoSpaceDN w:val="0"/>
        <w:adjustRightInd w:val="0"/>
        <w:spacing w:after="0" w:line="240" w:lineRule="auto"/>
        <w:jc w:val="both"/>
        <w:rPr>
          <w:rFonts w:ascii="Arial" w:eastAsia="Arial" w:hAnsi="Arial" w:cs="Arial"/>
          <w:lang w:eastAsia="cs-CZ"/>
        </w:rPr>
      </w:pPr>
      <w:r w:rsidRPr="009D0434">
        <w:rPr>
          <w:rFonts w:ascii="Arial" w:hAnsi="Arial" w:cs="Arial"/>
        </w:rPr>
        <w:t>Státní tajemnice Ministerstva pro místní rozvoj</w:t>
      </w:r>
      <w:r w:rsidRPr="009D0434">
        <w:rPr>
          <w:rFonts w:ascii="Arial" w:hAnsi="Arial" w:cs="Arial"/>
          <w:color w:val="FF0000"/>
        </w:rPr>
        <w:t xml:space="preserve"> </w:t>
      </w:r>
      <w:r w:rsidRPr="009D0434">
        <w:rPr>
          <w:rFonts w:ascii="Arial" w:hAnsi="Arial" w:cs="Arial"/>
        </w:rPr>
        <w:t>jako služební orgán příslušný podle § 10 odst. 1 písm. f)</w:t>
      </w:r>
      <w:r w:rsidRPr="009D0434">
        <w:rPr>
          <w:rFonts w:ascii="Arial" w:hAnsi="Arial" w:cs="Arial"/>
          <w:color w:val="FF0000"/>
        </w:rPr>
        <w:t xml:space="preserve"> </w:t>
      </w:r>
      <w:r w:rsidRPr="009D0434">
        <w:rPr>
          <w:rFonts w:ascii="Arial" w:hAnsi="Arial" w:cs="Arial"/>
        </w:rPr>
        <w:t xml:space="preserve">zákona č. 234/2014 Sb., o státní službě, </w:t>
      </w:r>
      <w:r w:rsidRPr="009D0434">
        <w:rPr>
          <w:rFonts w:ascii="Arial" w:eastAsia="Arial" w:hAnsi="Arial" w:cs="Arial"/>
          <w:lang w:eastAsia="cs-CZ"/>
        </w:rPr>
        <w:t>ve znění pozdějších předpisů</w:t>
      </w:r>
      <w:r w:rsidRPr="009D0434">
        <w:rPr>
          <w:rFonts w:ascii="Arial" w:hAnsi="Arial" w:cs="Arial"/>
        </w:rPr>
        <w:t xml:space="preserve"> (dále jen „zákon“)</w:t>
      </w:r>
      <w:r w:rsidRPr="009D0434">
        <w:rPr>
          <w:rFonts w:ascii="Arial" w:eastAsia="Arial" w:hAnsi="Arial" w:cs="Arial"/>
          <w:lang w:eastAsia="cs-CZ"/>
        </w:rPr>
        <w:t xml:space="preserve">, vyhlašuje výběrové řízení na služební místo </w:t>
      </w:r>
      <w:r w:rsidRPr="009D0434">
        <w:rPr>
          <w:rFonts w:ascii="Arial" w:hAnsi="Arial" w:cs="Arial"/>
        </w:rPr>
        <w:t>č. MMR_</w:t>
      </w:r>
      <w:r w:rsidR="00A90FB8" w:rsidRPr="009D0434">
        <w:rPr>
          <w:rFonts w:ascii="Arial" w:hAnsi="Arial" w:cs="Arial"/>
        </w:rPr>
        <w:t>1</w:t>
      </w:r>
      <w:r w:rsidR="009D0434">
        <w:rPr>
          <w:rFonts w:ascii="Arial" w:hAnsi="Arial" w:cs="Arial"/>
        </w:rPr>
        <w:t>37</w:t>
      </w:r>
      <w:r w:rsidR="00EC7B36" w:rsidRPr="009D0434">
        <w:rPr>
          <w:rFonts w:ascii="Arial" w:hAnsi="Arial" w:cs="Arial"/>
        </w:rPr>
        <w:t xml:space="preserve">, </w:t>
      </w:r>
      <w:r w:rsidR="009D0434" w:rsidRPr="009D0434">
        <w:rPr>
          <w:rFonts w:ascii="Arial" w:eastAsia="Arial" w:hAnsi="Arial" w:cs="Arial"/>
          <w:lang w:eastAsia="cs-CZ"/>
        </w:rPr>
        <w:t>metodik/metodička fondů EU, oddělení</w:t>
      </w:r>
      <w:r w:rsidR="009D0434" w:rsidRPr="009D0434">
        <w:rPr>
          <w:rFonts w:ascii="Arial" w:hAnsi="Arial" w:cs="Arial"/>
        </w:rPr>
        <w:t xml:space="preserve"> </w:t>
      </w:r>
      <w:r w:rsidR="009D0434" w:rsidRPr="009D0434">
        <w:rPr>
          <w:rFonts w:ascii="Arial" w:eastAsia="Arial" w:hAnsi="Arial" w:cs="Arial"/>
          <w:lang w:eastAsia="cs-CZ"/>
        </w:rPr>
        <w:t>metodického řízení, </w:t>
      </w:r>
      <w:hyperlink r:id="rId9" w:history="1">
        <w:r w:rsidR="009D0434" w:rsidRPr="009D0434">
          <w:rPr>
            <w:rFonts w:ascii="Arial" w:eastAsia="Arial" w:hAnsi="Arial" w:cs="Arial"/>
            <w:lang w:eastAsia="cs-CZ"/>
          </w:rPr>
          <w:t>odbor řízení a koordinace fondů EU</w:t>
        </w:r>
      </w:hyperlink>
      <w:r w:rsidR="00E51ABA" w:rsidRPr="009D0434">
        <w:rPr>
          <w:rFonts w:ascii="Arial" w:hAnsi="Arial" w:cs="Arial"/>
        </w:rPr>
        <w:t xml:space="preserve">, </w:t>
      </w:r>
      <w:r w:rsidR="00912D20" w:rsidRPr="009D0434">
        <w:rPr>
          <w:rFonts w:ascii="Arial" w:eastAsia="Arial" w:hAnsi="Arial" w:cs="Arial"/>
          <w:lang w:eastAsia="cs-CZ"/>
        </w:rPr>
        <w:t>sekce</w:t>
      </w:r>
      <w:hyperlink r:id="rId10" w:history="1">
        <w:r w:rsidR="00A90FB8" w:rsidRPr="009D0434">
          <w:rPr>
            <w:rFonts w:ascii="Arial" w:eastAsia="Arial" w:hAnsi="Arial" w:cs="Arial"/>
            <w:lang w:eastAsia="cs-CZ"/>
          </w:rPr>
          <w:t xml:space="preserve"> koordinace evropských fondů mezinárodních vztahů a cestovního ruchu</w:t>
        </w:r>
      </w:hyperlink>
      <w:r w:rsidR="00912D20" w:rsidRPr="009D0434">
        <w:rPr>
          <w:rFonts w:ascii="Arial" w:hAnsi="Arial" w:cs="Arial"/>
        </w:rPr>
        <w:t xml:space="preserve"> </w:t>
      </w:r>
      <w:r w:rsidRPr="009D0434">
        <w:rPr>
          <w:rFonts w:ascii="Arial" w:eastAsia="Arial" w:hAnsi="Arial" w:cs="Arial"/>
          <w:lang w:eastAsia="cs-CZ"/>
        </w:rPr>
        <w:t>v</w:t>
      </w:r>
      <w:r w:rsidR="00B865FF" w:rsidRPr="009D0434">
        <w:rPr>
          <w:rFonts w:ascii="Arial" w:eastAsia="Arial" w:hAnsi="Arial" w:cs="Arial"/>
          <w:lang w:eastAsia="cs-CZ"/>
        </w:rPr>
        <w:t> </w:t>
      </w:r>
      <w:r w:rsidRPr="009D0434">
        <w:rPr>
          <w:rFonts w:ascii="Arial" w:eastAsia="Arial" w:hAnsi="Arial" w:cs="Arial"/>
          <w:lang w:eastAsia="cs-CZ"/>
        </w:rPr>
        <w:t>Ministerstvu pro místní rozvoj, se služebním působištěm v</w:t>
      </w:r>
      <w:r w:rsidR="00CD315D" w:rsidRPr="009D0434">
        <w:rPr>
          <w:rFonts w:ascii="Arial" w:eastAsia="Arial" w:hAnsi="Arial" w:cs="Arial"/>
          <w:lang w:eastAsia="cs-CZ"/>
        </w:rPr>
        <w:t> </w:t>
      </w:r>
      <w:r w:rsidR="00DB7908" w:rsidRPr="009D0434">
        <w:rPr>
          <w:rFonts w:ascii="Arial" w:eastAsia="Arial" w:hAnsi="Arial" w:cs="Arial"/>
          <w:lang w:eastAsia="cs-CZ"/>
        </w:rPr>
        <w:t>Praze</w:t>
      </w:r>
      <w:r w:rsidRPr="009D0434">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3B04579B"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 xml:space="preserve">Společné evropské politiky podpory a pomoci a evropské strukturální, investiční </w:t>
      </w:r>
      <w:r w:rsidR="009D0434">
        <w:rPr>
          <w:rFonts w:ascii="Arial" w:hAnsi="Arial" w:cs="Arial"/>
        </w:rPr>
        <w:br/>
      </w:r>
      <w:r>
        <w:rPr>
          <w:rFonts w:ascii="Arial" w:hAnsi="Arial" w:cs="Arial"/>
        </w:rPr>
        <w:t>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5736888" w14:textId="60CF485F" w:rsidR="00C14F1A" w:rsidRDefault="009D0434" w:rsidP="00AE5840">
      <w:pPr>
        <w:pStyle w:val="Odstavecseseznamem"/>
        <w:numPr>
          <w:ilvl w:val="0"/>
          <w:numId w:val="46"/>
        </w:numPr>
        <w:spacing w:after="0" w:line="240" w:lineRule="auto"/>
        <w:ind w:left="567"/>
        <w:jc w:val="both"/>
        <w:rPr>
          <w:rFonts w:ascii="Arial" w:hAnsi="Arial" w:cs="Arial"/>
        </w:rPr>
      </w:pPr>
      <w:r>
        <w:rPr>
          <w:rFonts w:ascii="Arial" w:hAnsi="Arial" w:cs="Arial"/>
        </w:rPr>
        <w:t>tvorba a výklad metodických dokumentů v oblasti řízení výzev, hodnocení a výběru projektů, kontrola zpracování této problematiky v řídící dokumentaci programů</w:t>
      </w:r>
      <w:r w:rsidR="00C14F1A">
        <w:rPr>
          <w:rFonts w:ascii="Arial" w:hAnsi="Arial" w:cs="Arial"/>
        </w:rPr>
        <w:t>;</w:t>
      </w:r>
    </w:p>
    <w:p w14:paraId="3D5BE603" w14:textId="18B78882" w:rsidR="009D0434" w:rsidRDefault="009D0434" w:rsidP="00AE5840">
      <w:pPr>
        <w:pStyle w:val="Odstavecseseznamem"/>
        <w:numPr>
          <w:ilvl w:val="0"/>
          <w:numId w:val="46"/>
        </w:numPr>
        <w:spacing w:after="0" w:line="240" w:lineRule="auto"/>
        <w:ind w:left="567"/>
        <w:jc w:val="both"/>
        <w:rPr>
          <w:rFonts w:ascii="Arial" w:hAnsi="Arial" w:cs="Arial"/>
        </w:rPr>
      </w:pPr>
      <w:r>
        <w:rPr>
          <w:rFonts w:ascii="Arial" w:hAnsi="Arial" w:cs="Arial"/>
        </w:rPr>
        <w:t xml:space="preserve">organizace účasti na jednáních CPR Expert Group a CPR </w:t>
      </w:r>
      <w:proofErr w:type="spellStart"/>
      <w:r>
        <w:rPr>
          <w:rFonts w:ascii="Arial" w:hAnsi="Arial" w:cs="Arial"/>
        </w:rPr>
        <w:t>Committee</w:t>
      </w:r>
      <w:proofErr w:type="spellEnd"/>
      <w:r>
        <w:rPr>
          <w:rFonts w:ascii="Arial" w:hAnsi="Arial" w:cs="Arial"/>
        </w:rPr>
        <w:t>;</w:t>
      </w:r>
    </w:p>
    <w:p w14:paraId="1D92B907" w14:textId="1569D778" w:rsidR="009D0434" w:rsidRDefault="009D0434" w:rsidP="00AE5840">
      <w:pPr>
        <w:pStyle w:val="Odstavecseseznamem"/>
        <w:numPr>
          <w:ilvl w:val="0"/>
          <w:numId w:val="46"/>
        </w:numPr>
        <w:spacing w:after="0" w:line="240" w:lineRule="auto"/>
        <w:ind w:left="567"/>
        <w:jc w:val="both"/>
        <w:rPr>
          <w:rFonts w:ascii="Arial" w:hAnsi="Arial" w:cs="Arial"/>
        </w:rPr>
      </w:pPr>
      <w:r>
        <w:rPr>
          <w:rFonts w:ascii="Arial" w:hAnsi="Arial" w:cs="Arial"/>
        </w:rPr>
        <w:t>spolupráce při přípravě podkladů a prezentací pro jednání NOK;</w:t>
      </w:r>
    </w:p>
    <w:p w14:paraId="5F90EB62" w14:textId="7ECD734E" w:rsidR="009D0434" w:rsidRDefault="009D0434" w:rsidP="00AE5840">
      <w:pPr>
        <w:pStyle w:val="Odstavecseseznamem"/>
        <w:numPr>
          <w:ilvl w:val="0"/>
          <w:numId w:val="46"/>
        </w:numPr>
        <w:spacing w:after="0" w:line="240" w:lineRule="auto"/>
        <w:ind w:left="567"/>
        <w:jc w:val="both"/>
        <w:rPr>
          <w:rFonts w:ascii="Arial" w:hAnsi="Arial" w:cs="Arial"/>
        </w:rPr>
      </w:pPr>
      <w:r>
        <w:rPr>
          <w:rFonts w:ascii="Arial" w:hAnsi="Arial" w:cs="Arial"/>
        </w:rPr>
        <w:t>organizace jednání Technické pracovní skupiny ke zjednodušování.</w:t>
      </w:r>
    </w:p>
    <w:p w14:paraId="272B20CA" w14:textId="77777777" w:rsidR="008F6678" w:rsidRPr="008F6678" w:rsidRDefault="008F6678" w:rsidP="008F6678">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4069BC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14F1A">
        <w:rPr>
          <w:rFonts w:ascii="Arial" w:eastAsia="Arial" w:hAnsi="Arial" w:cs="Arial"/>
          <w:b/>
          <w:bCs/>
          <w:lang w:eastAsia="cs-CZ"/>
        </w:rPr>
        <w:t>v říjnu</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1"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2"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61228DB"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9D0434">
        <w:rPr>
          <w:rFonts w:ascii="Arial" w:eastAsia="Arial" w:hAnsi="Arial" w:cs="Arial"/>
          <w:b/>
          <w:bCs/>
          <w:color w:val="000000"/>
          <w:lang w:eastAsia="cs-CZ"/>
        </w:rPr>
        <w:t>2</w:t>
      </w:r>
      <w:r w:rsidR="00C14AC9">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C14F1A">
        <w:rPr>
          <w:rFonts w:ascii="Arial" w:eastAsia="Arial" w:hAnsi="Arial" w:cs="Arial"/>
          <w:b/>
          <w:bCs/>
          <w:color w:val="000000"/>
          <w:lang w:eastAsia="cs-CZ"/>
        </w:rPr>
        <w:t>září</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lastRenderedPageBreak/>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08FB9E17"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9D0434">
        <w:rPr>
          <w:rFonts w:ascii="Arial" w:eastAsia="Arial" w:hAnsi="Arial" w:cs="Arial"/>
          <w:b/>
          <w:bCs/>
          <w:lang w:eastAsia="cs-CZ"/>
        </w:rPr>
        <w:t>metodika/metodičky</w:t>
      </w:r>
      <w:r w:rsidR="00C14F1A" w:rsidRPr="00C14F1A">
        <w:rPr>
          <w:rFonts w:ascii="Arial" w:eastAsia="Arial" w:hAnsi="Arial" w:cs="Arial"/>
          <w:b/>
          <w:bCs/>
          <w:lang w:eastAsia="cs-CZ"/>
        </w:rPr>
        <w:t xml:space="preserve"> fondů EU</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C14F1A">
        <w:rPr>
          <w:rFonts w:ascii="Arial" w:hAnsi="Arial" w:cs="Arial"/>
          <w:b/>
          <w:bCs/>
        </w:rPr>
        <w:t>58086</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9D0434">
        <w:rPr>
          <w:rFonts w:ascii="Arial" w:hAnsi="Arial" w:cs="Arial"/>
          <w:b/>
          <w:bCs/>
        </w:rPr>
        <w:t>MS</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3CD5CDD9" w:rsidR="00A674A4" w:rsidRPr="00A6384B" w:rsidRDefault="00A674A4" w:rsidP="00A71A92">
      <w:pPr>
        <w:numPr>
          <w:ilvl w:val="0"/>
          <w:numId w:val="39"/>
        </w:numPr>
        <w:spacing w:after="0" w:line="240" w:lineRule="auto"/>
        <w:ind w:left="567" w:hanging="283"/>
        <w:jc w:val="both"/>
        <w:rPr>
          <w:rFonts w:ascii="Arial" w:hAnsi="Arial" w:cs="Arial"/>
        </w:rPr>
      </w:pPr>
      <w:r w:rsidRPr="002B3265">
        <w:rPr>
          <w:rFonts w:ascii="Arial" w:hAnsi="Arial" w:cs="Arial"/>
        </w:rPr>
        <w:t xml:space="preserve">dosáhl </w:t>
      </w:r>
      <w:r w:rsidRPr="00A6384B">
        <w:rPr>
          <w:rFonts w:ascii="Arial" w:hAnsi="Arial" w:cs="Arial"/>
        </w:rPr>
        <w:t>vzdělání stanoveného zákonem pro toto služební místo, tj.</w:t>
      </w:r>
      <w:r w:rsidR="00365E61" w:rsidRPr="00A6384B">
        <w:rPr>
          <w:rFonts w:ascii="Arial" w:hAnsi="Arial" w:cs="Arial"/>
        </w:rPr>
        <w:t> </w:t>
      </w:r>
      <w:r w:rsidRPr="00A6384B">
        <w:rPr>
          <w:rFonts w:ascii="Arial" w:hAnsi="Arial" w:cs="Arial"/>
        </w:rPr>
        <w:t>vysokoškolského vzdělání v magisterském studijním programu</w:t>
      </w:r>
      <w:r w:rsidR="00A71A92" w:rsidRPr="00A6384B">
        <w:rPr>
          <w:rFonts w:ascii="Arial" w:hAnsi="Arial" w:cs="Arial"/>
        </w:rPr>
        <w:t xml:space="preserve"> předpisem státní tajemnice č. </w:t>
      </w:r>
      <w:r w:rsidR="00A6384B" w:rsidRPr="00A6384B">
        <w:rPr>
          <w:rFonts w:ascii="Arial" w:hAnsi="Arial" w:cs="Arial"/>
        </w:rPr>
        <w:t>25</w:t>
      </w:r>
      <w:r w:rsidR="00A71A92" w:rsidRPr="00A6384B">
        <w:rPr>
          <w:rFonts w:ascii="Arial" w:hAnsi="Arial" w:cs="Arial"/>
        </w:rPr>
        <w:t>/2025, č.j. MMR-</w:t>
      </w:r>
      <w:r w:rsidR="00A6384B" w:rsidRPr="00A6384B">
        <w:rPr>
          <w:rFonts w:ascii="Arial" w:hAnsi="Arial" w:cs="Arial"/>
        </w:rPr>
        <w:t>60653</w:t>
      </w:r>
      <w:r w:rsidR="00A71A92" w:rsidRPr="00A6384B">
        <w:rPr>
          <w:rFonts w:ascii="Arial" w:hAnsi="Arial" w:cs="Arial"/>
        </w:rPr>
        <w:t>/2025-94 pro toto služební místo, tj. odborného zaměření vzdělání, a to vysokoškolské vzdělání v magisterském studijním programu, a to zaměření ekonomické, humanitní nebo přírodovědné</w:t>
      </w:r>
      <w:r w:rsidR="00A71A92" w:rsidRPr="00A6384B">
        <w:rPr>
          <w:rStyle w:val="Znakapoznpodarou"/>
          <w:rFonts w:ascii="Arial" w:hAnsi="Arial" w:cs="Arial"/>
        </w:rPr>
        <w:footnoteReference w:id="3"/>
      </w:r>
      <w:r w:rsidR="00A71A92" w:rsidRPr="00A6384B">
        <w:rPr>
          <w:rFonts w:ascii="Arial" w:hAnsi="Arial" w:cs="Arial"/>
        </w:rPr>
        <w:t>;</w:t>
      </w:r>
    </w:p>
    <w:p w14:paraId="01812058" w14:textId="40FD701C" w:rsidR="00FB12C2" w:rsidRPr="00A6384B" w:rsidRDefault="00A674A4" w:rsidP="00BF42C4">
      <w:pPr>
        <w:numPr>
          <w:ilvl w:val="0"/>
          <w:numId w:val="39"/>
        </w:numPr>
        <w:spacing w:after="0" w:line="240" w:lineRule="auto"/>
        <w:ind w:left="567" w:hanging="283"/>
        <w:jc w:val="both"/>
        <w:rPr>
          <w:rFonts w:ascii="Arial" w:hAnsi="Arial" w:cs="Arial"/>
        </w:rPr>
      </w:pPr>
      <w:r w:rsidRPr="00A6384B">
        <w:rPr>
          <w:rFonts w:ascii="Arial" w:hAnsi="Arial" w:cs="Arial"/>
        </w:rPr>
        <w:t>má potřebnou zdravotní způsobilost</w:t>
      </w:r>
      <w:r w:rsidR="00B649B4" w:rsidRPr="00A6384B">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0CC4CA23"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w:t>
      </w:r>
      <w:r w:rsidRPr="00A6384B">
        <w:rPr>
          <w:rFonts w:ascii="Arial" w:hAnsi="Arial" w:cs="Arial"/>
        </w:rPr>
        <w:t xml:space="preserve">odst. 3 písm. a) zákona o státní službě služebním předpisem státní tajemnice č. </w:t>
      </w:r>
      <w:r w:rsidR="00C14F1A" w:rsidRPr="00A6384B">
        <w:rPr>
          <w:rFonts w:ascii="Arial" w:hAnsi="Arial" w:cs="Arial"/>
          <w:color w:val="000000" w:themeColor="text1"/>
        </w:rPr>
        <w:t>2</w:t>
      </w:r>
      <w:r w:rsidR="00A6384B" w:rsidRPr="00A6384B">
        <w:rPr>
          <w:rFonts w:ascii="Arial" w:hAnsi="Arial" w:cs="Arial"/>
          <w:color w:val="000000" w:themeColor="text1"/>
        </w:rPr>
        <w:t>5</w:t>
      </w:r>
      <w:r w:rsidRPr="00A6384B">
        <w:rPr>
          <w:rFonts w:ascii="Arial" w:hAnsi="Arial" w:cs="Arial"/>
          <w:color w:val="000000" w:themeColor="text1"/>
        </w:rPr>
        <w:t xml:space="preserve">/2025, č.j. </w:t>
      </w:r>
      <w:r w:rsidRPr="00A6384B">
        <w:rPr>
          <w:rFonts w:ascii="Arial" w:hAnsi="Arial" w:cs="Arial"/>
        </w:rPr>
        <w:t>MMR-</w:t>
      </w:r>
      <w:r w:rsidR="00A6384B" w:rsidRPr="00A6384B">
        <w:rPr>
          <w:rFonts w:ascii="Arial" w:hAnsi="Arial" w:cs="Arial"/>
        </w:rPr>
        <w:t>60653</w:t>
      </w:r>
      <w:r w:rsidRPr="00A6384B">
        <w:rPr>
          <w:rFonts w:ascii="Arial" w:hAnsi="Arial" w:cs="Arial"/>
        </w:rPr>
        <w:t>/2025-94</w:t>
      </w:r>
      <w:r w:rsidRPr="00A6384B">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7AFA7E53"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lastRenderedPageBreak/>
        <w:t>úrov</w:t>
      </w:r>
      <w:r>
        <w:rPr>
          <w:rFonts w:ascii="Arial" w:hAnsi="Arial" w:cs="Arial"/>
        </w:rPr>
        <w:t xml:space="preserve">eň </w:t>
      </w:r>
      <w:r w:rsidRPr="000B61CB">
        <w:rPr>
          <w:rFonts w:ascii="Arial" w:hAnsi="Arial" w:cs="Arial"/>
        </w:rPr>
        <w:t xml:space="preserve">znalosti anglického jazyka, a to odpovídající alespoň </w:t>
      </w:r>
      <w:r w:rsidR="009D0434">
        <w:rPr>
          <w:rFonts w:ascii="Arial" w:hAnsi="Arial" w:cs="Arial"/>
        </w:rPr>
        <w:t>2</w:t>
      </w:r>
      <w:r w:rsidRPr="000B61CB">
        <w:rPr>
          <w:rFonts w:ascii="Arial" w:hAnsi="Arial" w:cs="Arial"/>
        </w:rPr>
        <w:t>. stupni znalosti</w:t>
      </w:r>
      <w:r>
        <w:rPr>
          <w:rFonts w:ascii="Arial" w:hAnsi="Arial" w:cs="Arial"/>
        </w:rPr>
        <w:t xml:space="preserve"> </w:t>
      </w:r>
      <w:r w:rsidR="009D0434">
        <w:rPr>
          <w:rFonts w:ascii="Arial" w:hAnsi="Arial" w:cs="Arial"/>
        </w:rPr>
        <w:t>anglického</w:t>
      </w:r>
      <w:r w:rsidRPr="000B61CB">
        <w:rPr>
          <w:rFonts w:ascii="Arial" w:hAnsi="Arial" w:cs="Arial"/>
        </w:rPr>
        <w:t xml:space="preserve">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Pr="00A125B9" w:rsidRDefault="00A125B9" w:rsidP="00A125B9">
      <w:pPr>
        <w:pStyle w:val="Odstavecseseznamem"/>
        <w:spacing w:after="0" w:line="240" w:lineRule="auto"/>
        <w:ind w:left="1080"/>
        <w:contextualSpacing/>
        <w:jc w:val="both"/>
        <w:rPr>
          <w:rFonts w:ascii="Arial" w:hAnsi="Arial" w:cs="Arial"/>
          <w:color w:val="000000" w:themeColor="text1"/>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4"/>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0333AE6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A71A92">
        <w:rPr>
          <w:rFonts w:ascii="Arial" w:hAnsi="Arial" w:cs="Arial"/>
        </w:rPr>
        <w:t>Ing. Marcelu Stříbrnou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A71A92">
        <w:rPr>
          <w:rFonts w:ascii="Arial" w:hAnsi="Arial" w:cs="Arial"/>
        </w:rPr>
        <w:t>Marcela.Stribrna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3ADC748A" w14:textId="38239229" w:rsidR="009E7D76" w:rsidRDefault="000F7AE3" w:rsidP="00C14F1A">
      <w:pPr>
        <w:spacing w:after="0"/>
        <w:ind w:left="3540" w:firstLine="708"/>
        <w:rPr>
          <w:rFonts w:ascii="Arial" w:hAnsi="Arial" w:cs="Arial"/>
        </w:rPr>
      </w:pPr>
      <w:r w:rsidRPr="00E75BB8">
        <w:rPr>
          <w:rFonts w:ascii="Arial" w:hAnsi="Arial" w:cs="Arial"/>
        </w:rPr>
        <w:t xml:space="preserve">    </w:t>
      </w:r>
      <w:r w:rsidR="00C14F1A">
        <w:rPr>
          <w:rFonts w:ascii="Arial" w:hAnsi="Arial" w:cs="Arial"/>
        </w:rPr>
        <w:t xml:space="preserve">  </w:t>
      </w:r>
    </w:p>
    <w:p w14:paraId="064473F1" w14:textId="77777777" w:rsidR="00C14F1A" w:rsidRDefault="00C14F1A" w:rsidP="00C14F1A">
      <w:pPr>
        <w:spacing w:after="0"/>
        <w:ind w:left="3540" w:firstLine="708"/>
        <w:rPr>
          <w:rFonts w:ascii="Arial" w:hAnsi="Arial" w:cs="Arial"/>
        </w:rPr>
      </w:pPr>
    </w:p>
    <w:p w14:paraId="254B0C7F" w14:textId="77777777" w:rsidR="00A71A92" w:rsidRDefault="00A71A92" w:rsidP="00C14F1A">
      <w:pPr>
        <w:spacing w:after="0"/>
        <w:ind w:left="3540" w:firstLine="708"/>
        <w:rPr>
          <w:rFonts w:ascii="Arial" w:hAnsi="Arial" w:cs="Arial"/>
        </w:rPr>
      </w:pPr>
    </w:p>
    <w:p w14:paraId="520A131E" w14:textId="77777777" w:rsidR="00A71A92" w:rsidRDefault="00A71A92" w:rsidP="00C14F1A">
      <w:pPr>
        <w:spacing w:after="0"/>
        <w:ind w:left="3540" w:firstLine="708"/>
        <w:rPr>
          <w:rFonts w:ascii="Arial" w:hAnsi="Arial" w:cs="Arial"/>
        </w:rPr>
      </w:pPr>
    </w:p>
    <w:p w14:paraId="09FD4CC4" w14:textId="77777777" w:rsidR="00A71A92" w:rsidRDefault="00A71A92" w:rsidP="00C14F1A">
      <w:pPr>
        <w:spacing w:after="0"/>
        <w:ind w:left="3540" w:firstLine="708"/>
        <w:rPr>
          <w:rFonts w:ascii="Arial" w:hAnsi="Arial" w:cs="Arial"/>
        </w:rPr>
      </w:pPr>
    </w:p>
    <w:p w14:paraId="47F7F9C6" w14:textId="77777777" w:rsidR="00A71A92" w:rsidRDefault="00A71A92" w:rsidP="00C14F1A">
      <w:pPr>
        <w:spacing w:after="0"/>
        <w:ind w:left="3540" w:firstLine="708"/>
        <w:rPr>
          <w:rFonts w:ascii="Arial" w:hAnsi="Arial" w:cs="Arial"/>
        </w:rPr>
      </w:pPr>
    </w:p>
    <w:p w14:paraId="27B0C8E9" w14:textId="77777777" w:rsidR="00A71A92" w:rsidRDefault="00A71A92" w:rsidP="00C14F1A">
      <w:pPr>
        <w:spacing w:after="0"/>
        <w:ind w:left="3540" w:firstLine="708"/>
        <w:rPr>
          <w:rFonts w:ascii="Arial" w:hAnsi="Arial" w:cs="Arial"/>
        </w:rPr>
      </w:pPr>
    </w:p>
    <w:p w14:paraId="730A5C23" w14:textId="77777777" w:rsidR="00A71A92" w:rsidRDefault="00A71A92" w:rsidP="00C14F1A">
      <w:pPr>
        <w:spacing w:after="0"/>
        <w:ind w:left="3540" w:firstLine="708"/>
        <w:rPr>
          <w:rFonts w:ascii="Arial" w:hAnsi="Arial" w:cs="Arial"/>
        </w:rPr>
      </w:pPr>
    </w:p>
    <w:p w14:paraId="305AFA47" w14:textId="77777777" w:rsidR="00B740AE" w:rsidRDefault="00B740A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1C0E13A" w14:textId="77777777" w:rsidR="00C14F1A" w:rsidRDefault="00C14F1A" w:rsidP="001240A5">
      <w:pPr>
        <w:tabs>
          <w:tab w:val="left" w:pos="3700"/>
        </w:tabs>
        <w:spacing w:after="0" w:line="240" w:lineRule="auto"/>
        <w:contextualSpacing/>
        <w:jc w:val="both"/>
        <w:rPr>
          <w:rFonts w:ascii="Arial" w:hAnsi="Arial" w:cs="Arial"/>
        </w:rPr>
      </w:pPr>
    </w:p>
    <w:p w14:paraId="40535F2C" w14:textId="77777777" w:rsidR="00C14F1A" w:rsidRDefault="00C14F1A" w:rsidP="001240A5">
      <w:pPr>
        <w:tabs>
          <w:tab w:val="left" w:pos="3700"/>
        </w:tabs>
        <w:spacing w:after="0" w:line="240" w:lineRule="auto"/>
        <w:contextualSpacing/>
        <w:jc w:val="both"/>
        <w:rPr>
          <w:rFonts w:ascii="Arial" w:hAnsi="Arial" w:cs="Arial"/>
        </w:rPr>
      </w:pPr>
    </w:p>
    <w:p w14:paraId="4558A047" w14:textId="77777777" w:rsidR="00C14F1A" w:rsidRDefault="00C14F1A" w:rsidP="001240A5">
      <w:pPr>
        <w:tabs>
          <w:tab w:val="left" w:pos="3700"/>
        </w:tabs>
        <w:spacing w:after="0" w:line="240" w:lineRule="auto"/>
        <w:contextualSpacing/>
        <w:jc w:val="both"/>
        <w:rPr>
          <w:rFonts w:ascii="Arial" w:hAnsi="Arial" w:cs="Arial"/>
        </w:rPr>
      </w:pPr>
    </w:p>
    <w:p w14:paraId="41412012" w14:textId="77777777" w:rsidR="00A71A92" w:rsidRDefault="00A71A92" w:rsidP="001240A5">
      <w:pPr>
        <w:tabs>
          <w:tab w:val="left" w:pos="3700"/>
        </w:tabs>
        <w:spacing w:after="0" w:line="240" w:lineRule="auto"/>
        <w:contextualSpacing/>
        <w:jc w:val="both"/>
        <w:rPr>
          <w:rFonts w:ascii="Arial" w:hAnsi="Arial" w:cs="Arial"/>
        </w:rPr>
      </w:pPr>
    </w:p>
    <w:p w14:paraId="6CD8B31A" w14:textId="77777777" w:rsidR="00A71A92" w:rsidRDefault="00A71A92" w:rsidP="001240A5">
      <w:pPr>
        <w:tabs>
          <w:tab w:val="left" w:pos="3700"/>
        </w:tabs>
        <w:spacing w:after="0" w:line="240" w:lineRule="auto"/>
        <w:contextualSpacing/>
        <w:jc w:val="both"/>
        <w:rPr>
          <w:rFonts w:ascii="Arial" w:hAnsi="Arial" w:cs="Arial"/>
        </w:rPr>
      </w:pPr>
    </w:p>
    <w:p w14:paraId="6E28955D" w14:textId="77777777" w:rsidR="00A71A92" w:rsidRDefault="00A71A92" w:rsidP="001240A5">
      <w:pPr>
        <w:tabs>
          <w:tab w:val="left" w:pos="3700"/>
        </w:tabs>
        <w:spacing w:after="0" w:line="240" w:lineRule="auto"/>
        <w:contextualSpacing/>
        <w:jc w:val="both"/>
        <w:rPr>
          <w:rFonts w:ascii="Arial" w:hAnsi="Arial" w:cs="Arial"/>
        </w:rPr>
      </w:pPr>
    </w:p>
    <w:p w14:paraId="1153B73F" w14:textId="77777777" w:rsidR="00A71A92" w:rsidRDefault="00A71A92" w:rsidP="001240A5">
      <w:pPr>
        <w:tabs>
          <w:tab w:val="left" w:pos="3700"/>
        </w:tabs>
        <w:spacing w:after="0" w:line="240" w:lineRule="auto"/>
        <w:contextualSpacing/>
        <w:jc w:val="both"/>
        <w:rPr>
          <w:rFonts w:ascii="Arial" w:hAnsi="Arial" w:cs="Arial"/>
        </w:rPr>
      </w:pPr>
    </w:p>
    <w:p w14:paraId="2CD22A47" w14:textId="77777777" w:rsidR="00A71A92" w:rsidRDefault="00A71A92" w:rsidP="001240A5">
      <w:pPr>
        <w:tabs>
          <w:tab w:val="left" w:pos="3700"/>
        </w:tabs>
        <w:spacing w:after="0" w:line="240" w:lineRule="auto"/>
        <w:contextualSpacing/>
        <w:jc w:val="both"/>
        <w:rPr>
          <w:rFonts w:ascii="Arial" w:hAnsi="Arial" w:cs="Arial"/>
        </w:rPr>
      </w:pPr>
    </w:p>
    <w:p w14:paraId="31E26B27" w14:textId="77777777" w:rsidR="00C14F1A" w:rsidRDefault="00C14F1A" w:rsidP="001240A5">
      <w:pPr>
        <w:tabs>
          <w:tab w:val="left" w:pos="3700"/>
        </w:tabs>
        <w:spacing w:after="0" w:line="240" w:lineRule="auto"/>
        <w:contextualSpacing/>
        <w:jc w:val="both"/>
        <w:rPr>
          <w:rFonts w:ascii="Arial" w:hAnsi="Arial" w:cs="Arial"/>
        </w:rPr>
      </w:pPr>
    </w:p>
    <w:p w14:paraId="0D29906A" w14:textId="77777777" w:rsidR="00C14F1A" w:rsidRDefault="00C14F1A" w:rsidP="001240A5">
      <w:pPr>
        <w:tabs>
          <w:tab w:val="left" w:pos="3700"/>
        </w:tabs>
        <w:spacing w:after="0" w:line="240" w:lineRule="auto"/>
        <w:contextualSpacing/>
        <w:jc w:val="both"/>
        <w:rPr>
          <w:rFonts w:ascii="Arial" w:hAnsi="Arial" w:cs="Arial"/>
        </w:rPr>
      </w:pPr>
    </w:p>
    <w:p w14:paraId="5C9EF2B6" w14:textId="77777777" w:rsidR="00C14F1A" w:rsidRDefault="00C14F1A" w:rsidP="001240A5">
      <w:pPr>
        <w:tabs>
          <w:tab w:val="left" w:pos="3700"/>
        </w:tabs>
        <w:spacing w:after="0" w:line="240" w:lineRule="auto"/>
        <w:contextualSpacing/>
        <w:jc w:val="both"/>
        <w:rPr>
          <w:rFonts w:ascii="Arial" w:hAnsi="Arial" w:cs="Arial"/>
        </w:rPr>
      </w:pPr>
    </w:p>
    <w:p w14:paraId="0B20884C" w14:textId="24776373" w:rsidR="00C14F1A" w:rsidRPr="00E75BB8" w:rsidRDefault="00C14F1A" w:rsidP="00C14F1A">
      <w:pPr>
        <w:spacing w:after="0"/>
        <w:ind w:left="3540" w:firstLine="708"/>
        <w:rPr>
          <w:rFonts w:ascii="Arial" w:hAnsi="Arial" w:cs="Arial"/>
        </w:rPr>
      </w:pPr>
      <w:r>
        <w:rPr>
          <w:rFonts w:ascii="Arial" w:hAnsi="Arial" w:cs="Arial"/>
        </w:rPr>
        <w:t xml:space="preserve">      Mgr. Martina Postupová</w:t>
      </w:r>
    </w:p>
    <w:p w14:paraId="7A19715F" w14:textId="77777777" w:rsidR="00C14F1A" w:rsidRDefault="00C14F1A" w:rsidP="00C14F1A">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33EBEF2F" w14:textId="77777777" w:rsidR="00A71A92" w:rsidRPr="0040114C" w:rsidRDefault="00A71A92" w:rsidP="00A71A92">
      <w:pPr>
        <w:pStyle w:val="Textpoznpodarou"/>
        <w:jc w:val="both"/>
        <w:rPr>
          <w:rFonts w:ascii="Arial" w:hAnsi="Arial" w:cs="Arial"/>
          <w:i/>
          <w:iCs/>
          <w:sz w:val="18"/>
          <w:szCs w:val="18"/>
        </w:rPr>
      </w:pPr>
      <w:r>
        <w:rPr>
          <w:rStyle w:val="Znakapoznpodarou"/>
        </w:rPr>
        <w:footnoteRef/>
      </w:r>
      <w:r>
        <w:t xml:space="preserve"> </w:t>
      </w:r>
      <w:r w:rsidRPr="0040114C">
        <w:rPr>
          <w:rFonts w:ascii="Arial" w:hAnsi="Arial" w:cs="Arial"/>
          <w:i/>
          <w:iCs/>
          <w:sz w:val="18"/>
          <w:szCs w:val="18"/>
        </w:rPr>
        <w:t>Splnění tohoto požadavku se dokládá originálem nebo úředně ověřenou kopií příslušné listiny prokazující odborné vzdělání.</w:t>
      </w:r>
    </w:p>
  </w:footnote>
  <w:footnote w:id="4">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699A"/>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3D88"/>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0723"/>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1819"/>
    <w:rsid w:val="005C4DFD"/>
    <w:rsid w:val="005C5D73"/>
    <w:rsid w:val="005C7511"/>
    <w:rsid w:val="005C7BA7"/>
    <w:rsid w:val="005D7B9D"/>
    <w:rsid w:val="005E699B"/>
    <w:rsid w:val="005F0376"/>
    <w:rsid w:val="005F5658"/>
    <w:rsid w:val="005F650B"/>
    <w:rsid w:val="005F72CA"/>
    <w:rsid w:val="00607E43"/>
    <w:rsid w:val="00607E9B"/>
    <w:rsid w:val="00610AA2"/>
    <w:rsid w:val="00612760"/>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1EB7"/>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4598"/>
    <w:rsid w:val="007A7F6D"/>
    <w:rsid w:val="007B2067"/>
    <w:rsid w:val="007B4951"/>
    <w:rsid w:val="007C2DFA"/>
    <w:rsid w:val="007C3981"/>
    <w:rsid w:val="007D1805"/>
    <w:rsid w:val="007D1EC5"/>
    <w:rsid w:val="007F1145"/>
    <w:rsid w:val="007F6A9C"/>
    <w:rsid w:val="00803801"/>
    <w:rsid w:val="0080596F"/>
    <w:rsid w:val="00805DB8"/>
    <w:rsid w:val="0080703C"/>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D0434"/>
    <w:rsid w:val="009E171C"/>
    <w:rsid w:val="009E2E13"/>
    <w:rsid w:val="009E7D76"/>
    <w:rsid w:val="009F1954"/>
    <w:rsid w:val="00A00517"/>
    <w:rsid w:val="00A04AF7"/>
    <w:rsid w:val="00A125B9"/>
    <w:rsid w:val="00A15D2C"/>
    <w:rsid w:val="00A25477"/>
    <w:rsid w:val="00A25585"/>
    <w:rsid w:val="00A41528"/>
    <w:rsid w:val="00A43FCC"/>
    <w:rsid w:val="00A466BD"/>
    <w:rsid w:val="00A6384B"/>
    <w:rsid w:val="00A674A4"/>
    <w:rsid w:val="00A71A92"/>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4AC9"/>
    <w:rsid w:val="00C14F1A"/>
    <w:rsid w:val="00C15F5E"/>
    <w:rsid w:val="00C16F73"/>
    <w:rsid w:val="00C17480"/>
    <w:rsid w:val="00C24644"/>
    <w:rsid w:val="00C269AD"/>
    <w:rsid w:val="00C3513D"/>
    <w:rsid w:val="00C435C2"/>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56A93"/>
    <w:rsid w:val="00F635BD"/>
    <w:rsid w:val="00F72C04"/>
    <w:rsid w:val="00F778C3"/>
    <w:rsid w:val="00F82C72"/>
    <w:rsid w:val="00F83D84"/>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r.gov.cz/cs/kariera/benefit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vcr.cz/sluzba/soubor/ssp-c-3-2022-priloha-c-3b-podminky-vykonu-sluzby-text.asp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raha.mmr.cz/Seznam-zamestnancu?department=2" TargetMode="External"/><Relationship Id="rId4" Type="http://schemas.openxmlformats.org/officeDocument/2006/relationships/settings" Target="settings.xml"/><Relationship Id="rId9" Type="http://schemas.openxmlformats.org/officeDocument/2006/relationships/hyperlink" Target="http://www.praha.mmr.cz/Seznam-zamestnancu?department=2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1787</TotalTime>
  <Pages>5</Pages>
  <Words>1376</Words>
  <Characters>8125</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227</cp:revision>
  <cp:lastPrinted>2025-09-08T08:28:00Z</cp:lastPrinted>
  <dcterms:created xsi:type="dcterms:W3CDTF">2017-07-31T11:28:00Z</dcterms:created>
  <dcterms:modified xsi:type="dcterms:W3CDTF">2025-09-08T09:20:00Z</dcterms:modified>
</cp:coreProperties>
</file>